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13B77" w14:textId="77777777" w:rsidR="00260976" w:rsidRPr="00342111" w:rsidRDefault="00260976" w:rsidP="00260976">
      <w:pPr>
        <w:rPr>
          <w:b/>
          <w:bCs/>
          <w:lang w:val="en-GB"/>
        </w:rPr>
      </w:pPr>
      <w:r w:rsidRPr="00342111">
        <w:rPr>
          <w:b/>
          <w:bCs/>
          <w:lang w:val="en-GB"/>
        </w:rPr>
        <w:t>1. Materials, Participants, and Procedures</w:t>
      </w:r>
    </w:p>
    <w:p w14:paraId="7F85A24B" w14:textId="77777777" w:rsidR="00F67C4C" w:rsidRPr="00342111" w:rsidRDefault="00260976" w:rsidP="00260976">
      <w:pPr>
        <w:rPr>
          <w:lang w:val="en-GB"/>
        </w:rPr>
      </w:pPr>
      <w:r w:rsidRPr="00342111">
        <w:rPr>
          <w:lang w:val="en-GB"/>
        </w:rPr>
        <w:t xml:space="preserve">All experimental materials were created in Czech and English versions, each comprising seven short texts that systematically varied the </w:t>
      </w:r>
      <w:r w:rsidRPr="00342111">
        <w:rPr>
          <w:b/>
          <w:bCs/>
          <w:lang w:val="en-GB"/>
        </w:rPr>
        <w:t>function of emojis</w:t>
      </w:r>
      <w:r w:rsidRPr="00342111">
        <w:rPr>
          <w:lang w:val="en-GB"/>
        </w:rPr>
        <w:t>:</w:t>
      </w:r>
      <w:r w:rsidRPr="00342111">
        <w:rPr>
          <w:lang w:val="en-GB"/>
        </w:rPr>
        <w:br/>
        <w:t>(1) plain text (no emoji), (2) emojis as determiners, (3) mixed functions, (4) correct emotion emojis, (5) incorrect emotion emojis, (6) mixed incorrect functions, and (7) emojis replacing words</w:t>
      </w:r>
    </w:p>
    <w:p w14:paraId="6B65F4E6" w14:textId="46F35160" w:rsidR="00260976" w:rsidRPr="00342111" w:rsidRDefault="00260976" w:rsidP="00260976">
      <w:pPr>
        <w:rPr>
          <w:lang w:val="en-GB"/>
        </w:rPr>
      </w:pPr>
      <w:r w:rsidRPr="00342111">
        <w:rPr>
          <w:lang w:val="en-GB"/>
        </w:rPr>
        <w:br/>
        <w:t xml:space="preserve">Each text was between 90 and 105 tokens, matched as closely as possible for syntactic structure and lexical difficulty. Word length and frequency were held constant within each language by replacing only single words or short noun phrases with emojis of equivalent semantic content (e.g., </w:t>
      </w:r>
      <w:r w:rsidRPr="00342111">
        <w:rPr>
          <w:i/>
          <w:iCs/>
          <w:lang w:val="en-GB"/>
        </w:rPr>
        <w:t>fish</w:t>
      </w:r>
      <w:r w:rsidRPr="00342111">
        <w:rPr>
          <w:lang w:val="en-GB"/>
        </w:rPr>
        <w:t xml:space="preserve"> </w:t>
      </w:r>
      <w:r w:rsidRPr="00342111">
        <w:rPr>
          <w:rFonts w:ascii="Segoe UI Emoji" w:hAnsi="Segoe UI Emoji" w:cs="Segoe UI Emoji"/>
          <w:lang w:val="en-GB"/>
        </w:rPr>
        <w:t>🦈</w:t>
      </w:r>
      <w:r w:rsidRPr="00342111">
        <w:rPr>
          <w:lang w:val="en-GB"/>
        </w:rPr>
        <w:t xml:space="preserve">, </w:t>
      </w:r>
      <w:r w:rsidRPr="00342111">
        <w:rPr>
          <w:i/>
          <w:iCs/>
          <w:lang w:val="en-GB"/>
        </w:rPr>
        <w:t>happy</w:t>
      </w:r>
      <w:r w:rsidRPr="00342111">
        <w:rPr>
          <w:lang w:val="en-GB"/>
        </w:rPr>
        <w:t xml:space="preserve"> </w:t>
      </w:r>
      <w:r w:rsidRPr="00342111">
        <w:rPr>
          <w:rFonts w:ascii="Segoe UI Emoji" w:hAnsi="Segoe UI Emoji" w:cs="Segoe UI Emoji"/>
          <w:lang w:val="en-GB"/>
        </w:rPr>
        <w:t>😊</w:t>
      </w:r>
      <w:r w:rsidRPr="00342111">
        <w:rPr>
          <w:lang w:val="en-GB"/>
        </w:rPr>
        <w:t>).</w:t>
      </w:r>
    </w:p>
    <w:p w14:paraId="3160F575" w14:textId="77777777" w:rsidR="00F67C4C" w:rsidRPr="00342111" w:rsidRDefault="00F67C4C" w:rsidP="00260976">
      <w:pPr>
        <w:rPr>
          <w:lang w:val="en-GB"/>
        </w:rPr>
      </w:pPr>
    </w:p>
    <w:p w14:paraId="41710E1F" w14:textId="74EC1585" w:rsidR="00260976" w:rsidRPr="00342111" w:rsidRDefault="00313761" w:rsidP="00260976">
      <w:pPr>
        <w:rPr>
          <w:lang w:val="en-GB"/>
        </w:rPr>
      </w:pPr>
      <w:r>
        <w:rPr>
          <w:lang w:val="en-GB"/>
        </w:rPr>
        <w:t xml:space="preserve">All participants signed the informed consent. </w:t>
      </w:r>
      <w:r w:rsidR="00260976" w:rsidRPr="00342111">
        <w:rPr>
          <w:lang w:val="en-GB"/>
        </w:rPr>
        <w:t xml:space="preserve">Participants (N = 26; age 19–32, gender balanced) read all texts in a within-subjects design. Recordings were obtained with a </w:t>
      </w:r>
      <w:proofErr w:type="spellStart"/>
      <w:r w:rsidR="00260976" w:rsidRPr="00342111">
        <w:rPr>
          <w:b/>
          <w:bCs/>
          <w:lang w:val="en-GB"/>
        </w:rPr>
        <w:t>Tobii</w:t>
      </w:r>
      <w:proofErr w:type="spellEnd"/>
      <w:r w:rsidR="00260976" w:rsidRPr="00342111">
        <w:rPr>
          <w:b/>
          <w:bCs/>
          <w:lang w:val="en-GB"/>
        </w:rPr>
        <w:t xml:space="preserve"> Pro Fusion</w:t>
      </w:r>
      <w:r w:rsidR="00260976" w:rsidRPr="00342111">
        <w:rPr>
          <w:lang w:val="en-GB"/>
        </w:rPr>
        <w:t xml:space="preserve"> system (250 Hz). Each text was presented as a static image; reading began at a fixation cross and continued until self-paced completion. We defined </w:t>
      </w:r>
      <w:r w:rsidR="00260976" w:rsidRPr="00342111">
        <w:rPr>
          <w:b/>
          <w:bCs/>
          <w:lang w:val="en-GB"/>
        </w:rPr>
        <w:t>Times of Interest (TOI)</w:t>
      </w:r>
      <w:r w:rsidR="00260976" w:rsidRPr="00342111">
        <w:rPr>
          <w:lang w:val="en-GB"/>
        </w:rPr>
        <w:t xml:space="preserve"> as the interval of the </w:t>
      </w:r>
      <w:r w:rsidR="00260976" w:rsidRPr="00342111">
        <w:rPr>
          <w:i/>
          <w:iCs/>
          <w:lang w:val="en-GB"/>
        </w:rPr>
        <w:t>first complete reading</w:t>
      </w:r>
      <w:r w:rsidR="00260976" w:rsidRPr="00342111">
        <w:rPr>
          <w:lang w:val="en-GB"/>
        </w:rPr>
        <w:t xml:space="preserve"> of each text, excluding rereading.</w:t>
      </w:r>
    </w:p>
    <w:p w14:paraId="1C2F9E76" w14:textId="77777777" w:rsidR="00F67C4C" w:rsidRPr="00342111" w:rsidRDefault="00F67C4C" w:rsidP="00260976">
      <w:pPr>
        <w:rPr>
          <w:lang w:val="en-GB"/>
        </w:rPr>
      </w:pPr>
    </w:p>
    <w:p w14:paraId="29378AC3" w14:textId="77777777" w:rsidR="00260976" w:rsidRPr="00342111" w:rsidRDefault="00260976" w:rsidP="00260976">
      <w:pPr>
        <w:rPr>
          <w:b/>
          <w:bCs/>
          <w:lang w:val="en-GB"/>
        </w:rPr>
      </w:pPr>
      <w:r w:rsidRPr="00342111">
        <w:rPr>
          <w:b/>
          <w:bCs/>
          <w:lang w:val="en-GB"/>
        </w:rPr>
        <w:t>2. Areas of Interest (AOIs) and Exported Metrics</w:t>
      </w:r>
    </w:p>
    <w:p w14:paraId="52D329F7" w14:textId="77777777" w:rsidR="00260976" w:rsidRPr="00342111" w:rsidRDefault="00260976" w:rsidP="00260976">
      <w:pPr>
        <w:rPr>
          <w:lang w:val="en-GB"/>
        </w:rPr>
      </w:pPr>
      <w:r w:rsidRPr="00342111">
        <w:rPr>
          <w:lang w:val="en-GB"/>
        </w:rPr>
        <w:t xml:space="preserve">AOIs were manually defined for every relevant linguistic unit in </w:t>
      </w:r>
      <w:proofErr w:type="spellStart"/>
      <w:r w:rsidRPr="00342111">
        <w:rPr>
          <w:lang w:val="en-GB"/>
        </w:rPr>
        <w:t>Tobii</w:t>
      </w:r>
      <w:proofErr w:type="spellEnd"/>
      <w:r w:rsidRPr="00342111">
        <w:rPr>
          <w:lang w:val="en-GB"/>
        </w:rPr>
        <w:t xml:space="preserve"> Pro Lab:</w:t>
      </w:r>
    </w:p>
    <w:p w14:paraId="09FDBB61" w14:textId="77777777" w:rsidR="00260976" w:rsidRPr="00342111" w:rsidRDefault="00260976" w:rsidP="00260976">
      <w:pPr>
        <w:numPr>
          <w:ilvl w:val="0"/>
          <w:numId w:val="18"/>
        </w:numPr>
        <w:rPr>
          <w:lang w:val="en-GB"/>
        </w:rPr>
      </w:pPr>
      <w:r w:rsidRPr="00342111">
        <w:rPr>
          <w:lang w:val="en-GB"/>
        </w:rPr>
        <w:t>Text 1 (CZ, EN): AOIs = words (w1–w11)</w:t>
      </w:r>
    </w:p>
    <w:p w14:paraId="660A3920" w14:textId="1B26ACB5" w:rsidR="00260976" w:rsidRPr="00342111" w:rsidRDefault="00260976" w:rsidP="00260976">
      <w:pPr>
        <w:numPr>
          <w:ilvl w:val="0"/>
          <w:numId w:val="18"/>
        </w:numPr>
        <w:rPr>
          <w:lang w:val="en-GB"/>
        </w:rPr>
      </w:pPr>
      <w:r w:rsidRPr="00342111">
        <w:rPr>
          <w:lang w:val="en-GB"/>
        </w:rPr>
        <w:t>Text 2-7: AOIs = words (w1–w11) + emojis (e1–e11)</w:t>
      </w:r>
    </w:p>
    <w:p w14:paraId="313E6601" w14:textId="5B40686E" w:rsidR="00260976" w:rsidRPr="00342111" w:rsidRDefault="00260976" w:rsidP="00260976">
      <w:pPr>
        <w:rPr>
          <w:lang w:val="en-GB"/>
        </w:rPr>
      </w:pPr>
      <w:r w:rsidRPr="00342111">
        <w:rPr>
          <w:lang w:val="en-GB"/>
        </w:rPr>
        <w:t xml:space="preserve">For each AOI we exported 27 standard metrics (fixation durations, saccade velocities, glances, etc.) following the </w:t>
      </w:r>
      <w:proofErr w:type="spellStart"/>
      <w:r w:rsidRPr="00342111">
        <w:rPr>
          <w:lang w:val="en-GB"/>
        </w:rPr>
        <w:t>Tobii</w:t>
      </w:r>
      <w:proofErr w:type="spellEnd"/>
      <w:r w:rsidRPr="00342111">
        <w:rPr>
          <w:lang w:val="en-GB"/>
        </w:rPr>
        <w:t xml:space="preserve"> Pro Lab manual (pp. 64–67). Data </w:t>
      </w:r>
      <w:proofErr w:type="spellStart"/>
      <w:r w:rsidRPr="00342111">
        <w:rPr>
          <w:lang w:val="en-GB"/>
        </w:rPr>
        <w:t>preprocessing</w:t>
      </w:r>
      <w:proofErr w:type="spellEnd"/>
      <w:r w:rsidRPr="00342111">
        <w:rPr>
          <w:lang w:val="en-GB"/>
        </w:rPr>
        <w:t xml:space="preserve"> and exploratory analyses were performed using </w:t>
      </w:r>
      <w:proofErr w:type="spellStart"/>
      <w:r w:rsidRPr="00342111">
        <w:rPr>
          <w:lang w:val="en-GB"/>
        </w:rPr>
        <w:t>Tobii</w:t>
      </w:r>
      <w:proofErr w:type="spellEnd"/>
      <w:r w:rsidRPr="00342111">
        <w:rPr>
          <w:lang w:val="en-GB"/>
        </w:rPr>
        <w:t xml:space="preserve"> </w:t>
      </w:r>
      <w:proofErr w:type="spellStart"/>
      <w:r w:rsidRPr="00342111">
        <w:rPr>
          <w:lang w:val="en-GB"/>
        </w:rPr>
        <w:t>ProLab</w:t>
      </w:r>
      <w:proofErr w:type="spellEnd"/>
      <w:r w:rsidRPr="00342111">
        <w:rPr>
          <w:lang w:val="en-GB"/>
        </w:rPr>
        <w:t xml:space="preserve"> native tools for visualization, and then python libraries like pandas and matplotlib were used for statistics and plotting. We encoded participant metadata as categorical variables and checked the dataset for missing or corrupt values.</w:t>
      </w:r>
    </w:p>
    <w:p w14:paraId="41DC04FD" w14:textId="77777777" w:rsidR="00260976" w:rsidRPr="00342111" w:rsidRDefault="00260976" w:rsidP="00260976">
      <w:pPr>
        <w:rPr>
          <w:b/>
          <w:bCs/>
          <w:lang w:val="en-GB"/>
        </w:rPr>
      </w:pPr>
      <w:r w:rsidRPr="00342111">
        <w:rPr>
          <w:b/>
          <w:bCs/>
          <w:lang w:val="en-GB"/>
        </w:rPr>
        <w:t>3. Control of Confounding Variables</w:t>
      </w:r>
    </w:p>
    <w:p w14:paraId="30B82279" w14:textId="51E000CA" w:rsidR="00260976" w:rsidRPr="00342111" w:rsidRDefault="00260976" w:rsidP="00260976">
      <w:pPr>
        <w:rPr>
          <w:lang w:val="en-GB"/>
        </w:rPr>
      </w:pPr>
      <w:r w:rsidRPr="00342111">
        <w:rPr>
          <w:lang w:val="en-GB"/>
        </w:rPr>
        <w:t>During data cleaning and feature inspection, we verified that:</w:t>
      </w:r>
    </w:p>
    <w:p w14:paraId="230F3727" w14:textId="430FA6F4" w:rsidR="00260976" w:rsidRPr="00342111" w:rsidRDefault="00260976" w:rsidP="00260976">
      <w:pPr>
        <w:numPr>
          <w:ilvl w:val="0"/>
          <w:numId w:val="19"/>
        </w:numPr>
        <w:rPr>
          <w:lang w:val="en-GB"/>
        </w:rPr>
      </w:pPr>
      <w:r w:rsidRPr="00342111">
        <w:rPr>
          <w:b/>
          <w:bCs/>
          <w:lang w:val="en-GB"/>
        </w:rPr>
        <w:t>Word length</w:t>
      </w:r>
      <w:r w:rsidRPr="00342111">
        <w:rPr>
          <w:lang w:val="en-GB"/>
        </w:rPr>
        <w:t xml:space="preserve"> (characters) and </w:t>
      </w:r>
      <w:r w:rsidRPr="00342111">
        <w:rPr>
          <w:b/>
          <w:bCs/>
          <w:lang w:val="en-GB"/>
        </w:rPr>
        <w:t>word frequency</w:t>
      </w:r>
      <w:r w:rsidRPr="00342111">
        <w:rPr>
          <w:lang w:val="en-GB"/>
        </w:rPr>
        <w:t xml:space="preserve"> did not differ significantly across conditions.</w:t>
      </w:r>
    </w:p>
    <w:p w14:paraId="19C399AE" w14:textId="77777777" w:rsidR="00260976" w:rsidRPr="00342111" w:rsidRDefault="00260976" w:rsidP="00260976">
      <w:pPr>
        <w:numPr>
          <w:ilvl w:val="0"/>
          <w:numId w:val="19"/>
        </w:numPr>
        <w:rPr>
          <w:lang w:val="en-GB"/>
        </w:rPr>
      </w:pPr>
      <w:r w:rsidRPr="00342111">
        <w:rPr>
          <w:b/>
          <w:bCs/>
          <w:lang w:val="en-GB"/>
        </w:rPr>
        <w:t>Contextual predictability</w:t>
      </w:r>
      <w:r w:rsidRPr="00342111">
        <w:rPr>
          <w:lang w:val="en-GB"/>
        </w:rPr>
        <w:t xml:space="preserve"> was held constant by embedding emojis only in equivalent syntactic positions.</w:t>
      </w:r>
    </w:p>
    <w:p w14:paraId="7FEB58C3" w14:textId="77777777" w:rsidR="00260976" w:rsidRPr="00342111" w:rsidRDefault="00260976" w:rsidP="00260976">
      <w:pPr>
        <w:numPr>
          <w:ilvl w:val="0"/>
          <w:numId w:val="19"/>
        </w:numPr>
        <w:rPr>
          <w:lang w:val="en-GB"/>
        </w:rPr>
      </w:pPr>
      <w:r w:rsidRPr="00342111">
        <w:rPr>
          <w:b/>
          <w:bCs/>
          <w:lang w:val="en-GB"/>
        </w:rPr>
        <w:lastRenderedPageBreak/>
        <w:t>Semantic content</w:t>
      </w:r>
      <w:r w:rsidRPr="00342111">
        <w:rPr>
          <w:lang w:val="en-GB"/>
        </w:rPr>
        <w:t xml:space="preserve"> was manually matched for referential equivalence (emoji ↔ lexical item).</w:t>
      </w:r>
    </w:p>
    <w:p w14:paraId="5FE58105" w14:textId="0F54531E" w:rsidR="00260976" w:rsidRPr="00342111" w:rsidRDefault="00260976" w:rsidP="00260976">
      <w:pPr>
        <w:numPr>
          <w:ilvl w:val="0"/>
          <w:numId w:val="19"/>
        </w:numPr>
        <w:rPr>
          <w:lang w:val="en-GB"/>
        </w:rPr>
      </w:pPr>
      <w:r w:rsidRPr="00342111">
        <w:rPr>
          <w:b/>
          <w:bCs/>
          <w:lang w:val="en-GB"/>
        </w:rPr>
        <w:t xml:space="preserve">Decisions for emoji replacement </w:t>
      </w:r>
      <w:r w:rsidRPr="00342111">
        <w:rPr>
          <w:lang w:val="en-GB"/>
        </w:rPr>
        <w:t>was kept randomized but balanced to not invoke a sense of pattern in participants.</w:t>
      </w:r>
    </w:p>
    <w:p w14:paraId="7EBA8181" w14:textId="77777777" w:rsidR="0049231F" w:rsidRPr="00342111" w:rsidRDefault="0049231F" w:rsidP="00260976">
      <w:pPr>
        <w:rPr>
          <w:b/>
          <w:bCs/>
          <w:lang w:val="en-GB"/>
        </w:rPr>
      </w:pPr>
    </w:p>
    <w:p w14:paraId="13E65867" w14:textId="4A10B9F3" w:rsidR="00260976" w:rsidRPr="00342111" w:rsidRDefault="00260976" w:rsidP="00260976">
      <w:pPr>
        <w:rPr>
          <w:b/>
          <w:bCs/>
          <w:lang w:val="en-GB"/>
        </w:rPr>
      </w:pPr>
      <w:r w:rsidRPr="00342111">
        <w:rPr>
          <w:b/>
          <w:bCs/>
          <w:lang w:val="en-GB"/>
        </w:rPr>
        <w:t>4. Dependent Measures and Statistical Analyses</w:t>
      </w:r>
    </w:p>
    <w:p w14:paraId="06DA2E02" w14:textId="77777777" w:rsidR="00260976" w:rsidRPr="00342111" w:rsidRDefault="00260976" w:rsidP="00260976">
      <w:pPr>
        <w:rPr>
          <w:lang w:val="en-GB"/>
        </w:rPr>
      </w:pPr>
      <w:r w:rsidRPr="00342111">
        <w:rPr>
          <w:lang w:val="en-GB"/>
        </w:rPr>
        <w:t>Eye-tracking metrics were aggregated by AOI type (word vs. emoji) and text function (determinative vs. replacing).</w:t>
      </w:r>
      <w:r w:rsidRPr="00342111">
        <w:rPr>
          <w:lang w:val="en-GB"/>
        </w:rPr>
        <w:br/>
        <w:t>Dependent variables:</w:t>
      </w:r>
    </w:p>
    <w:p w14:paraId="7B23AAE3" w14:textId="77777777" w:rsidR="00260976" w:rsidRPr="00342111" w:rsidRDefault="00260976" w:rsidP="00260976">
      <w:pPr>
        <w:numPr>
          <w:ilvl w:val="0"/>
          <w:numId w:val="20"/>
        </w:numPr>
        <w:rPr>
          <w:lang w:val="en-GB"/>
        </w:rPr>
      </w:pPr>
      <w:r w:rsidRPr="00342111">
        <w:rPr>
          <w:b/>
          <w:bCs/>
          <w:lang w:val="en-GB"/>
        </w:rPr>
        <w:t>Total fixation duration (</w:t>
      </w:r>
      <w:proofErr w:type="spellStart"/>
      <w:r w:rsidRPr="00342111">
        <w:rPr>
          <w:b/>
          <w:bCs/>
          <w:lang w:val="en-GB"/>
        </w:rPr>
        <w:t>ms</w:t>
      </w:r>
      <w:proofErr w:type="spellEnd"/>
      <w:r w:rsidRPr="00342111">
        <w:rPr>
          <w:b/>
          <w:bCs/>
          <w:lang w:val="en-GB"/>
        </w:rPr>
        <w:t>)</w:t>
      </w:r>
    </w:p>
    <w:p w14:paraId="225FAE18" w14:textId="77777777" w:rsidR="00260976" w:rsidRPr="00342111" w:rsidRDefault="00260976" w:rsidP="00260976">
      <w:pPr>
        <w:numPr>
          <w:ilvl w:val="0"/>
          <w:numId w:val="20"/>
        </w:numPr>
        <w:rPr>
          <w:lang w:val="en-GB"/>
        </w:rPr>
      </w:pPr>
      <w:r w:rsidRPr="00342111">
        <w:rPr>
          <w:b/>
          <w:bCs/>
          <w:lang w:val="en-GB"/>
        </w:rPr>
        <w:t>Mean fixation duration (</w:t>
      </w:r>
      <w:proofErr w:type="spellStart"/>
      <w:r w:rsidRPr="00342111">
        <w:rPr>
          <w:b/>
          <w:bCs/>
          <w:lang w:val="en-GB"/>
        </w:rPr>
        <w:t>ms</w:t>
      </w:r>
      <w:proofErr w:type="spellEnd"/>
      <w:r w:rsidRPr="00342111">
        <w:rPr>
          <w:b/>
          <w:bCs/>
          <w:lang w:val="en-GB"/>
        </w:rPr>
        <w:t>)</w:t>
      </w:r>
    </w:p>
    <w:p w14:paraId="4BA68A49" w14:textId="77777777" w:rsidR="00260976" w:rsidRPr="00342111" w:rsidRDefault="00260976" w:rsidP="00260976">
      <w:pPr>
        <w:numPr>
          <w:ilvl w:val="0"/>
          <w:numId w:val="20"/>
        </w:numPr>
        <w:rPr>
          <w:lang w:val="en-GB"/>
        </w:rPr>
      </w:pPr>
      <w:r w:rsidRPr="00342111">
        <w:rPr>
          <w:b/>
          <w:bCs/>
          <w:lang w:val="en-GB"/>
        </w:rPr>
        <w:t>Number of fixations per AOI</w:t>
      </w:r>
    </w:p>
    <w:p w14:paraId="4F13FBDE" w14:textId="77777777" w:rsidR="00260976" w:rsidRPr="00342111" w:rsidRDefault="00260976" w:rsidP="00260976">
      <w:pPr>
        <w:numPr>
          <w:ilvl w:val="0"/>
          <w:numId w:val="20"/>
        </w:numPr>
        <w:rPr>
          <w:lang w:val="en-GB"/>
        </w:rPr>
      </w:pPr>
      <w:r w:rsidRPr="00342111">
        <w:rPr>
          <w:b/>
          <w:bCs/>
          <w:lang w:val="en-GB"/>
        </w:rPr>
        <w:t>Time to first fixation (</w:t>
      </w:r>
      <w:proofErr w:type="spellStart"/>
      <w:r w:rsidRPr="00342111">
        <w:rPr>
          <w:b/>
          <w:bCs/>
          <w:lang w:val="en-GB"/>
        </w:rPr>
        <w:t>ms</w:t>
      </w:r>
      <w:proofErr w:type="spellEnd"/>
      <w:r w:rsidRPr="00342111">
        <w:rPr>
          <w:b/>
          <w:bCs/>
          <w:lang w:val="en-GB"/>
        </w:rPr>
        <w:t>)</w:t>
      </w:r>
    </w:p>
    <w:p w14:paraId="4CB25C53" w14:textId="77777777" w:rsidR="00260976" w:rsidRPr="00342111" w:rsidRDefault="00260976" w:rsidP="00260976">
      <w:pPr>
        <w:rPr>
          <w:lang w:val="en-GB"/>
        </w:rPr>
      </w:pPr>
      <w:r w:rsidRPr="00342111">
        <w:rPr>
          <w:lang w:val="en-GB"/>
        </w:rPr>
        <w:t xml:space="preserve">Analyses were conducted in Python using pandas, </w:t>
      </w:r>
      <w:proofErr w:type="spellStart"/>
      <w:r w:rsidRPr="00342111">
        <w:rPr>
          <w:lang w:val="en-GB"/>
        </w:rPr>
        <w:t>scipy</w:t>
      </w:r>
      <w:proofErr w:type="spellEnd"/>
      <w:r w:rsidRPr="00342111">
        <w:rPr>
          <w:lang w:val="en-GB"/>
        </w:rPr>
        <w:t xml:space="preserve">, and </w:t>
      </w:r>
      <w:proofErr w:type="spellStart"/>
      <w:r w:rsidRPr="00342111">
        <w:rPr>
          <w:lang w:val="en-GB"/>
        </w:rPr>
        <w:t>statsmodels</w:t>
      </w:r>
      <w:proofErr w:type="spellEnd"/>
      <w:r w:rsidRPr="00342111">
        <w:rPr>
          <w:lang w:val="en-GB"/>
        </w:rPr>
        <w:t>. We now report full inferential statistics: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78"/>
        <w:gridCol w:w="3119"/>
        <w:gridCol w:w="66"/>
        <w:gridCol w:w="81"/>
      </w:tblGrid>
      <w:tr w:rsidR="00260976" w:rsidRPr="00342111" w14:paraId="24A9A718" w14:textId="77777777" w:rsidTr="00260976">
        <w:trPr>
          <w:tblHeader/>
          <w:tblCellSpacing w:w="15" w:type="dxa"/>
        </w:trPr>
        <w:tc>
          <w:tcPr>
            <w:tcW w:w="4633" w:type="dxa"/>
            <w:vAlign w:val="center"/>
            <w:hideMark/>
          </w:tcPr>
          <w:p w14:paraId="718CAC79" w14:textId="77777777" w:rsidR="00260976" w:rsidRPr="00342111" w:rsidRDefault="00260976" w:rsidP="00260976">
            <w:pPr>
              <w:rPr>
                <w:b/>
                <w:bCs/>
                <w:lang w:val="en-GB"/>
              </w:rPr>
            </w:pPr>
            <w:r w:rsidRPr="00342111">
              <w:rPr>
                <w:b/>
                <w:bCs/>
                <w:lang w:val="en-GB"/>
              </w:rPr>
              <w:t>Effect</w:t>
            </w:r>
          </w:p>
        </w:tc>
        <w:tc>
          <w:tcPr>
            <w:tcW w:w="3089" w:type="dxa"/>
            <w:vAlign w:val="center"/>
            <w:hideMark/>
          </w:tcPr>
          <w:p w14:paraId="3CC1935F" w14:textId="5CB85287" w:rsidR="00260976" w:rsidRPr="00342111" w:rsidRDefault="00260976" w:rsidP="00260976">
            <w:pPr>
              <w:rPr>
                <w:b/>
                <w:bCs/>
                <w:lang w:val="en-GB"/>
              </w:rPr>
            </w:pPr>
            <w:r w:rsidRPr="00342111">
              <w:rPr>
                <w:b/>
                <w:bCs/>
                <w:lang w:val="en-GB"/>
              </w:rPr>
              <w:t>Dependent variable</w:t>
            </w:r>
          </w:p>
        </w:tc>
        <w:tc>
          <w:tcPr>
            <w:tcW w:w="0" w:type="auto"/>
            <w:vAlign w:val="center"/>
          </w:tcPr>
          <w:p w14:paraId="693F6F43" w14:textId="4ABBE913" w:rsidR="00260976" w:rsidRPr="00342111" w:rsidRDefault="00260976" w:rsidP="00260976">
            <w:pPr>
              <w:rPr>
                <w:b/>
                <w:bCs/>
                <w:lang w:val="en-GB"/>
              </w:rPr>
            </w:pPr>
          </w:p>
        </w:tc>
        <w:tc>
          <w:tcPr>
            <w:tcW w:w="0" w:type="auto"/>
            <w:vAlign w:val="center"/>
          </w:tcPr>
          <w:p w14:paraId="419C4FAE" w14:textId="60C0424A" w:rsidR="00260976" w:rsidRPr="00342111" w:rsidRDefault="00260976" w:rsidP="00260976">
            <w:pPr>
              <w:rPr>
                <w:b/>
                <w:bCs/>
                <w:lang w:val="en-GB"/>
              </w:rPr>
            </w:pPr>
          </w:p>
        </w:tc>
      </w:tr>
      <w:tr w:rsidR="00260976" w:rsidRPr="00342111" w14:paraId="0B515540" w14:textId="77777777" w:rsidTr="00260976">
        <w:trPr>
          <w:tblCellSpacing w:w="15" w:type="dxa"/>
        </w:trPr>
        <w:tc>
          <w:tcPr>
            <w:tcW w:w="4633" w:type="dxa"/>
            <w:vAlign w:val="center"/>
            <w:hideMark/>
          </w:tcPr>
          <w:p w14:paraId="1B7C183E" w14:textId="77777777" w:rsidR="00260976" w:rsidRPr="00342111" w:rsidRDefault="00260976" w:rsidP="00260976">
            <w:pPr>
              <w:rPr>
                <w:lang w:val="en-GB"/>
              </w:rPr>
            </w:pPr>
            <w:r w:rsidRPr="00342111">
              <w:rPr>
                <w:lang w:val="en-GB"/>
              </w:rPr>
              <w:t>Emoji function (determinative vs. replacing)</w:t>
            </w:r>
          </w:p>
        </w:tc>
        <w:tc>
          <w:tcPr>
            <w:tcW w:w="3089" w:type="dxa"/>
            <w:vAlign w:val="center"/>
            <w:hideMark/>
          </w:tcPr>
          <w:p w14:paraId="02BAB1CF" w14:textId="77777777" w:rsidR="00260976" w:rsidRPr="00342111" w:rsidRDefault="00260976" w:rsidP="00260976">
            <w:pPr>
              <w:rPr>
                <w:lang w:val="en-GB"/>
              </w:rPr>
            </w:pPr>
            <w:r w:rsidRPr="00342111">
              <w:rPr>
                <w:lang w:val="en-GB"/>
              </w:rPr>
              <w:t>mean fixation duration</w:t>
            </w:r>
          </w:p>
        </w:tc>
        <w:tc>
          <w:tcPr>
            <w:tcW w:w="0" w:type="auto"/>
            <w:vAlign w:val="center"/>
          </w:tcPr>
          <w:p w14:paraId="4F43F6EA" w14:textId="7C082D56" w:rsidR="00260976" w:rsidRPr="00342111" w:rsidRDefault="00260976" w:rsidP="00260976">
            <w:pPr>
              <w:rPr>
                <w:lang w:val="en-GB"/>
              </w:rPr>
            </w:pPr>
          </w:p>
        </w:tc>
        <w:tc>
          <w:tcPr>
            <w:tcW w:w="0" w:type="auto"/>
            <w:vAlign w:val="center"/>
          </w:tcPr>
          <w:p w14:paraId="7D6448FF" w14:textId="5ABF6811" w:rsidR="00260976" w:rsidRPr="00342111" w:rsidRDefault="00260976" w:rsidP="00260976">
            <w:pPr>
              <w:rPr>
                <w:lang w:val="en-GB"/>
              </w:rPr>
            </w:pPr>
          </w:p>
        </w:tc>
      </w:tr>
      <w:tr w:rsidR="00260976" w:rsidRPr="00342111" w14:paraId="79F80964" w14:textId="77777777" w:rsidTr="00260976">
        <w:trPr>
          <w:tblCellSpacing w:w="15" w:type="dxa"/>
        </w:trPr>
        <w:tc>
          <w:tcPr>
            <w:tcW w:w="4633" w:type="dxa"/>
            <w:vAlign w:val="center"/>
            <w:hideMark/>
          </w:tcPr>
          <w:p w14:paraId="4A404068" w14:textId="77777777" w:rsidR="00260976" w:rsidRPr="00342111" w:rsidRDefault="00260976" w:rsidP="00260976">
            <w:pPr>
              <w:rPr>
                <w:lang w:val="en-GB"/>
              </w:rPr>
            </w:pPr>
            <w:r w:rsidRPr="00342111">
              <w:rPr>
                <w:lang w:val="en-GB"/>
              </w:rPr>
              <w:t>AOI type (word vs. emoji)</w:t>
            </w:r>
          </w:p>
        </w:tc>
        <w:tc>
          <w:tcPr>
            <w:tcW w:w="3089" w:type="dxa"/>
            <w:vAlign w:val="center"/>
            <w:hideMark/>
          </w:tcPr>
          <w:p w14:paraId="1DF3AC8D" w14:textId="77777777" w:rsidR="00260976" w:rsidRPr="00342111" w:rsidRDefault="00260976" w:rsidP="00260976">
            <w:pPr>
              <w:rPr>
                <w:lang w:val="en-GB"/>
              </w:rPr>
            </w:pPr>
            <w:r w:rsidRPr="00342111">
              <w:rPr>
                <w:lang w:val="en-GB"/>
              </w:rPr>
              <w:t>number of fixations</w:t>
            </w:r>
          </w:p>
        </w:tc>
        <w:tc>
          <w:tcPr>
            <w:tcW w:w="0" w:type="auto"/>
            <w:vAlign w:val="center"/>
          </w:tcPr>
          <w:p w14:paraId="282F5DBD" w14:textId="26064CDC" w:rsidR="00260976" w:rsidRPr="00342111" w:rsidRDefault="00260976" w:rsidP="00260976">
            <w:pPr>
              <w:rPr>
                <w:lang w:val="en-GB"/>
              </w:rPr>
            </w:pPr>
          </w:p>
        </w:tc>
        <w:tc>
          <w:tcPr>
            <w:tcW w:w="0" w:type="auto"/>
            <w:vAlign w:val="center"/>
          </w:tcPr>
          <w:p w14:paraId="3C2BDE32" w14:textId="74A982A8" w:rsidR="00260976" w:rsidRPr="00342111" w:rsidRDefault="00260976" w:rsidP="00260976">
            <w:pPr>
              <w:rPr>
                <w:lang w:val="en-GB"/>
              </w:rPr>
            </w:pPr>
          </w:p>
        </w:tc>
      </w:tr>
      <w:tr w:rsidR="00260976" w:rsidRPr="00342111" w14:paraId="4F79321D" w14:textId="77777777" w:rsidTr="00260976">
        <w:trPr>
          <w:gridAfter w:val="2"/>
          <w:tblCellSpacing w:w="15" w:type="dxa"/>
        </w:trPr>
        <w:tc>
          <w:tcPr>
            <w:tcW w:w="4633" w:type="dxa"/>
            <w:vAlign w:val="center"/>
            <w:hideMark/>
          </w:tcPr>
          <w:p w14:paraId="3B8D2A61" w14:textId="77777777" w:rsidR="00260976" w:rsidRPr="00342111" w:rsidRDefault="00260976" w:rsidP="00260976">
            <w:pPr>
              <w:rPr>
                <w:lang w:val="en-GB"/>
              </w:rPr>
            </w:pPr>
            <w:r w:rsidRPr="00342111">
              <w:rPr>
                <w:lang w:val="en-GB"/>
              </w:rPr>
              <w:t>Social-media use (high vs. low) × AOI type</w:t>
            </w:r>
          </w:p>
        </w:tc>
        <w:tc>
          <w:tcPr>
            <w:tcW w:w="3089" w:type="dxa"/>
            <w:vAlign w:val="center"/>
            <w:hideMark/>
          </w:tcPr>
          <w:p w14:paraId="319F9831" w14:textId="77777777" w:rsidR="00260976" w:rsidRPr="00342111" w:rsidRDefault="00260976" w:rsidP="00260976">
            <w:pPr>
              <w:rPr>
                <w:lang w:val="en-GB"/>
              </w:rPr>
            </w:pPr>
            <w:r w:rsidRPr="00342111">
              <w:rPr>
                <w:lang w:val="en-GB"/>
              </w:rPr>
              <w:t>mean fixation duration</w:t>
            </w:r>
          </w:p>
        </w:tc>
      </w:tr>
    </w:tbl>
    <w:p w14:paraId="77846C8E" w14:textId="6C221B2F" w:rsidR="00260976" w:rsidRPr="00342111" w:rsidRDefault="0049231F" w:rsidP="00260976">
      <w:pPr>
        <w:rPr>
          <w:lang w:val="en-GB"/>
        </w:rPr>
      </w:pPr>
      <w:r w:rsidRPr="00342111">
        <w:rPr>
          <w:lang w:val="en-GB"/>
        </w:rPr>
        <w:t>Analysis results</w:t>
      </w:r>
      <w:r w:rsidR="00260976" w:rsidRPr="00342111">
        <w:rPr>
          <w:lang w:val="en-GB"/>
        </w:rPr>
        <w:t xml:space="preserve"> indicate that </w:t>
      </w:r>
      <w:r w:rsidR="00260976" w:rsidRPr="00342111">
        <w:rPr>
          <w:b/>
          <w:bCs/>
          <w:lang w:val="en-GB"/>
        </w:rPr>
        <w:t>emojis replacing words</w:t>
      </w:r>
      <w:r w:rsidR="00260976" w:rsidRPr="00342111">
        <w:rPr>
          <w:lang w:val="en-GB"/>
        </w:rPr>
        <w:t xml:space="preserve"> receive significantly longer and more numerous fixations than emojis functioning as determiners, corroborating qualitative patterns observed in </w:t>
      </w:r>
      <w:proofErr w:type="spellStart"/>
      <w:r w:rsidR="00260976" w:rsidRPr="00342111">
        <w:rPr>
          <w:lang w:val="en-GB"/>
        </w:rPr>
        <w:t>Tobii</w:t>
      </w:r>
      <w:proofErr w:type="spellEnd"/>
      <w:r w:rsidR="00260976" w:rsidRPr="00342111">
        <w:rPr>
          <w:lang w:val="en-GB"/>
        </w:rPr>
        <w:t xml:space="preserve"> Pro Lab visualizations</w:t>
      </w:r>
    </w:p>
    <w:p w14:paraId="3EFEA51A" w14:textId="77777777" w:rsidR="0049231F" w:rsidRPr="00342111" w:rsidRDefault="0049231F" w:rsidP="00260976">
      <w:pPr>
        <w:rPr>
          <w:lang w:val="en-GB"/>
        </w:rPr>
      </w:pPr>
    </w:p>
    <w:p w14:paraId="165998D7" w14:textId="75935974" w:rsidR="00A64089" w:rsidRPr="00342111" w:rsidRDefault="00A64089" w:rsidP="00260976">
      <w:pPr>
        <w:rPr>
          <w:lang w:val="en-GB"/>
        </w:rPr>
      </w:pPr>
    </w:p>
    <w:sectPr w:rsidR="00A64089" w:rsidRPr="003421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E3131"/>
    <w:multiLevelType w:val="multilevel"/>
    <w:tmpl w:val="DD50C2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7C4D72"/>
    <w:multiLevelType w:val="multilevel"/>
    <w:tmpl w:val="C73E3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0B6E2B"/>
    <w:multiLevelType w:val="multilevel"/>
    <w:tmpl w:val="918AE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1566D4"/>
    <w:multiLevelType w:val="multilevel"/>
    <w:tmpl w:val="33C69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350C11"/>
    <w:multiLevelType w:val="multilevel"/>
    <w:tmpl w:val="37844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783816"/>
    <w:multiLevelType w:val="multilevel"/>
    <w:tmpl w:val="8C4A5E12"/>
    <w:lvl w:ilvl="0">
      <w:start w:val="1"/>
      <w:numFmt w:val="decimal"/>
      <w:lvlText w:val="%1."/>
      <w:lvlJc w:val="left"/>
      <w:pPr>
        <w:tabs>
          <w:tab w:val="num" w:pos="720"/>
        </w:tabs>
        <w:ind w:left="720" w:hanging="360"/>
      </w:pPr>
      <w:rPr>
        <w:rFonts w:asciiTheme="minorHAnsi" w:eastAsiaTheme="minorEastAsia" w:hAnsiTheme="minorHAnsi" w:cstheme="minorBidi"/>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AB3F85"/>
    <w:multiLevelType w:val="multilevel"/>
    <w:tmpl w:val="47585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9F0389"/>
    <w:multiLevelType w:val="multilevel"/>
    <w:tmpl w:val="8926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A756B0"/>
    <w:multiLevelType w:val="multilevel"/>
    <w:tmpl w:val="C980A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C31E7C"/>
    <w:multiLevelType w:val="multilevel"/>
    <w:tmpl w:val="6638F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FD19DB"/>
    <w:multiLevelType w:val="multilevel"/>
    <w:tmpl w:val="5DC83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5B17D1"/>
    <w:multiLevelType w:val="multilevel"/>
    <w:tmpl w:val="E6A8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1246D7"/>
    <w:multiLevelType w:val="multilevel"/>
    <w:tmpl w:val="EA36D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346819"/>
    <w:multiLevelType w:val="multilevel"/>
    <w:tmpl w:val="B5DEB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0D7695"/>
    <w:multiLevelType w:val="multilevel"/>
    <w:tmpl w:val="E3E44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5114D4"/>
    <w:multiLevelType w:val="multilevel"/>
    <w:tmpl w:val="5DB2E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7F780A"/>
    <w:multiLevelType w:val="multilevel"/>
    <w:tmpl w:val="DD965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EA5944"/>
    <w:multiLevelType w:val="multilevel"/>
    <w:tmpl w:val="7AC2C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3F18A5"/>
    <w:multiLevelType w:val="multilevel"/>
    <w:tmpl w:val="3D0A29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280029"/>
    <w:multiLevelType w:val="multilevel"/>
    <w:tmpl w:val="96302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B37821"/>
    <w:multiLevelType w:val="multilevel"/>
    <w:tmpl w:val="952C44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64229F"/>
    <w:multiLevelType w:val="multilevel"/>
    <w:tmpl w:val="C9543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4"/>
  </w:num>
  <w:num w:numId="3">
    <w:abstractNumId w:val="11"/>
  </w:num>
  <w:num w:numId="4">
    <w:abstractNumId w:val="17"/>
  </w:num>
  <w:num w:numId="5">
    <w:abstractNumId w:val="6"/>
  </w:num>
  <w:num w:numId="6">
    <w:abstractNumId w:val="7"/>
  </w:num>
  <w:num w:numId="7">
    <w:abstractNumId w:val="3"/>
  </w:num>
  <w:num w:numId="8">
    <w:abstractNumId w:val="20"/>
  </w:num>
  <w:num w:numId="9">
    <w:abstractNumId w:val="13"/>
  </w:num>
  <w:num w:numId="10">
    <w:abstractNumId w:val="21"/>
  </w:num>
  <w:num w:numId="11">
    <w:abstractNumId w:val="5"/>
  </w:num>
  <w:num w:numId="12">
    <w:abstractNumId w:val="18"/>
  </w:num>
  <w:num w:numId="13">
    <w:abstractNumId w:val="8"/>
  </w:num>
  <w:num w:numId="14">
    <w:abstractNumId w:val="12"/>
  </w:num>
  <w:num w:numId="15">
    <w:abstractNumId w:val="0"/>
  </w:num>
  <w:num w:numId="16">
    <w:abstractNumId w:val="1"/>
  </w:num>
  <w:num w:numId="17">
    <w:abstractNumId w:val="16"/>
  </w:num>
  <w:num w:numId="18">
    <w:abstractNumId w:val="9"/>
  </w:num>
  <w:num w:numId="19">
    <w:abstractNumId w:val="19"/>
  </w:num>
  <w:num w:numId="20">
    <w:abstractNumId w:val="15"/>
  </w:num>
  <w:num w:numId="21">
    <w:abstractNumId w:val="4"/>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FA2"/>
    <w:rsid w:val="00260976"/>
    <w:rsid w:val="002D6D30"/>
    <w:rsid w:val="00313761"/>
    <w:rsid w:val="00342111"/>
    <w:rsid w:val="0049231F"/>
    <w:rsid w:val="00762969"/>
    <w:rsid w:val="00885FA2"/>
    <w:rsid w:val="00A64089"/>
    <w:rsid w:val="00B96F3B"/>
    <w:rsid w:val="00F67C4C"/>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3DB603"/>
  <w15:chartTrackingRefBased/>
  <w15:docId w15:val="{AC7793BA-F587-4CB6-AAA0-8C33E1AA6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sk-SK"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885F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885F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885FA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885FA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885FA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885FA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885FA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885FA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885FA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85FA2"/>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885FA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885FA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885FA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885FA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885FA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85FA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85FA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85FA2"/>
    <w:rPr>
      <w:rFonts w:eastAsiaTheme="majorEastAsia" w:cstheme="majorBidi"/>
      <w:color w:val="272727" w:themeColor="text1" w:themeTint="D8"/>
    </w:rPr>
  </w:style>
  <w:style w:type="paragraph" w:styleId="Nzev">
    <w:name w:val="Title"/>
    <w:basedOn w:val="Normln"/>
    <w:next w:val="Normln"/>
    <w:link w:val="NzevChar"/>
    <w:uiPriority w:val="10"/>
    <w:qFormat/>
    <w:rsid w:val="00885F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85FA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85FA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85FA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885FA2"/>
    <w:pPr>
      <w:spacing w:before="160"/>
      <w:jc w:val="center"/>
    </w:pPr>
    <w:rPr>
      <w:i/>
      <w:iCs/>
      <w:color w:val="404040" w:themeColor="text1" w:themeTint="BF"/>
    </w:rPr>
  </w:style>
  <w:style w:type="character" w:customStyle="1" w:styleId="CittChar">
    <w:name w:val="Citát Char"/>
    <w:basedOn w:val="Standardnpsmoodstavce"/>
    <w:link w:val="Citt"/>
    <w:uiPriority w:val="29"/>
    <w:rsid w:val="00885FA2"/>
    <w:rPr>
      <w:i/>
      <w:iCs/>
      <w:color w:val="404040" w:themeColor="text1" w:themeTint="BF"/>
    </w:rPr>
  </w:style>
  <w:style w:type="paragraph" w:styleId="Odstavecseseznamem">
    <w:name w:val="List Paragraph"/>
    <w:basedOn w:val="Normln"/>
    <w:uiPriority w:val="34"/>
    <w:qFormat/>
    <w:rsid w:val="00885FA2"/>
    <w:pPr>
      <w:ind w:left="720"/>
      <w:contextualSpacing/>
    </w:pPr>
  </w:style>
  <w:style w:type="character" w:styleId="Zdraznnintenzivn">
    <w:name w:val="Intense Emphasis"/>
    <w:basedOn w:val="Standardnpsmoodstavce"/>
    <w:uiPriority w:val="21"/>
    <w:qFormat/>
    <w:rsid w:val="00885FA2"/>
    <w:rPr>
      <w:i/>
      <w:iCs/>
      <w:color w:val="0F4761" w:themeColor="accent1" w:themeShade="BF"/>
    </w:rPr>
  </w:style>
  <w:style w:type="paragraph" w:styleId="Vrazncitt">
    <w:name w:val="Intense Quote"/>
    <w:basedOn w:val="Normln"/>
    <w:next w:val="Normln"/>
    <w:link w:val="VrazncittChar"/>
    <w:uiPriority w:val="30"/>
    <w:qFormat/>
    <w:rsid w:val="00885F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885FA2"/>
    <w:rPr>
      <w:i/>
      <w:iCs/>
      <w:color w:val="0F4761" w:themeColor="accent1" w:themeShade="BF"/>
    </w:rPr>
  </w:style>
  <w:style w:type="character" w:styleId="Odkazintenzivn">
    <w:name w:val="Intense Reference"/>
    <w:basedOn w:val="Standardnpsmoodstavce"/>
    <w:uiPriority w:val="32"/>
    <w:qFormat/>
    <w:rsid w:val="00885FA2"/>
    <w:rPr>
      <w:b/>
      <w:bCs/>
      <w:smallCaps/>
      <w:color w:val="0F4761" w:themeColor="accent1" w:themeShade="BF"/>
      <w:spacing w:val="5"/>
    </w:rPr>
  </w:style>
  <w:style w:type="paragraph" w:styleId="FormtovanvHTML">
    <w:name w:val="HTML Preformatted"/>
    <w:basedOn w:val="Normln"/>
    <w:link w:val="FormtovanvHTMLChar"/>
    <w:uiPriority w:val="99"/>
    <w:semiHidden/>
    <w:unhideWhenUsed/>
    <w:rsid w:val="00B96F3B"/>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B96F3B"/>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470</Words>
  <Characters>2716</Characters>
  <Application>Microsoft Office Word</Application>
  <DocSecurity>0</DocSecurity>
  <Lines>69</Lines>
  <Paragraphs>36</Paragraphs>
  <ScaleCrop>false</ScaleCrop>
  <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Kristína</dc:creator>
  <cp:keywords/>
  <dc:description/>
  <cp:lastModifiedBy>Bennett Ludmila</cp:lastModifiedBy>
  <cp:revision>3</cp:revision>
  <dcterms:created xsi:type="dcterms:W3CDTF">2025-11-23T13:06:00Z</dcterms:created>
  <dcterms:modified xsi:type="dcterms:W3CDTF">2025-11-23T13:06:00Z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32e974da-5c68-4d95-9d30-ba18cd5c43e7</vt:lpwstr>
  </property>
</Properties>
</file>